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0"/>
          <w:szCs w:val="40"/>
          <w:lang w:val="en-US" w:eastAsia="zh-CN"/>
        </w:rPr>
      </w:pPr>
      <w:r>
        <w:rPr>
          <w:rFonts w:hint="eastAsia" w:ascii="方正小标宋简体" w:hAnsi="方正小标宋简体" w:eastAsia="方正小标宋简体" w:cs="方正小标宋简体"/>
          <w:b w:val="0"/>
          <w:bCs w:val="0"/>
          <w:sz w:val="40"/>
          <w:szCs w:val="40"/>
          <w:lang w:val="en-US" w:eastAsia="zh-CN"/>
        </w:rPr>
        <w:t>安徽江南钢铁材料质量监督检验有限公司</w:t>
      </w:r>
    </w:p>
    <w:p>
      <w:pPr>
        <w:jc w:val="center"/>
        <w:rPr>
          <w:rFonts w:hint="eastAsia" w:ascii="方正小标宋简体" w:hAnsi="方正小标宋简体" w:eastAsia="方正小标宋简体" w:cs="方正小标宋简体"/>
          <w:b w:val="0"/>
          <w:bCs w:val="0"/>
          <w:sz w:val="40"/>
          <w:szCs w:val="40"/>
          <w:lang w:val="en-US" w:eastAsia="zh-CN"/>
        </w:rPr>
      </w:pPr>
      <w:bookmarkStart w:id="0" w:name="_GoBack"/>
      <w:bookmarkEnd w:id="0"/>
      <w:r>
        <w:rPr>
          <w:rFonts w:hint="eastAsia" w:ascii="方正小标宋简体" w:hAnsi="方正小标宋简体" w:eastAsia="方正小标宋简体" w:cs="方正小标宋简体"/>
          <w:b w:val="0"/>
          <w:bCs w:val="0"/>
          <w:sz w:val="40"/>
          <w:szCs w:val="40"/>
          <w:lang w:val="en-US" w:eastAsia="zh-CN"/>
        </w:rPr>
        <w:t xml:space="preserve">企业信息公开报告 </w:t>
      </w:r>
    </w:p>
    <w:p>
      <w:pPr>
        <w:pStyle w:val="7"/>
        <w:numPr>
          <w:ilvl w:val="0"/>
          <w:numId w:val="0"/>
        </w:numPr>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一、企业基本信息</w:t>
      </w:r>
    </w:p>
    <w:p>
      <w:pPr>
        <w:ind w:left="279" w:leftChars="133" w:firstLine="480" w:firstLineChars="150"/>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sz w:val="32"/>
          <w:szCs w:val="32"/>
          <w:lang w:val="en-US" w:eastAsia="zh-CN"/>
        </w:rPr>
        <w:t xml:space="preserve">安徽江南钢铁材料质量监督检验有限公司成立于 2009 年 9 月 28日，统一社会信用代码：9134050069570971XD,法定代表人邱全山，经营范围：钢铁材料与产品、铁合金、耐火材料制品、原燃辅料质量监督检验；理化检验技术与服务；理化检测设备应用、检定和维修。（依法需经批准的项目经相关部门批准后方可经营）。注册资本人民币壹佰万圆整。地址：安徽省马鞍山市雨山区湖南西路 8 号。下设一个分公司安徽江南钢铁材料质量监督检验有限公司合肥分公司。 </w:t>
      </w:r>
    </w:p>
    <w:p>
      <w:pPr>
        <w:pStyle w:val="7"/>
        <w:numPr>
          <w:ilvl w:val="0"/>
          <w:numId w:val="0"/>
        </w:numPr>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二、公司治理及管理架构、重要人事变动</w:t>
      </w:r>
    </w:p>
    <w:p>
      <w:pPr>
        <w:ind w:left="279" w:leftChars="133" w:firstLine="480" w:firstLineChars="15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安徽江南钢铁材料质量监督检验有限公司为有限责任公司，实行总经理负责制。2021 年度公司法定代表人由张明如变更为邱全山；同步人事调整总经理也由张明如变更为邱全山；副总经理兼财务负责人杨兆林未变化。 </w:t>
      </w:r>
    </w:p>
    <w:p>
      <w:pPr>
        <w:pStyle w:val="7"/>
        <w:numPr>
          <w:ilvl w:val="0"/>
          <w:numId w:val="0"/>
        </w:numPr>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三、企业主要财务状况和经营成果、国有资本保值增值情况</w:t>
      </w:r>
    </w:p>
    <w:p>
      <w:pPr>
        <w:ind w:left="279" w:leftChars="133" w:firstLine="480" w:firstLineChars="15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安徽江南钢铁材料质量监督检验有限公司 2021 年全年检测收入239.07 万元，比 2020 年增加 52.49 万元，增长 28.13%。2021 年实现利润总额 110.78 万元，提取法定盈余公积金 10.41 万元，实际可供股东分配利润 281.60 万元。截止 2021 年 12 月 31 日公司资产总额达 556.63 万元，负债总计 133.59 万元,所有者权益累计 423.04 万元。实现了国有资产保值增值。近三年的净资产收益率分别为：2019 年净资产收益率为 35%；2020 年净资产收益率为 37%；2021 年净资产收益率为 35%。 </w:t>
      </w:r>
    </w:p>
    <w:p>
      <w:pPr>
        <w:pStyle w:val="7"/>
        <w:numPr>
          <w:ilvl w:val="0"/>
          <w:numId w:val="0"/>
        </w:numPr>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四、企业履行社会责任情况</w:t>
      </w:r>
    </w:p>
    <w:p>
      <w:pPr>
        <w:ind w:left="279" w:leftChars="133" w:firstLine="480" w:firstLineChars="15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1.遵纪守法、依法纳税、重视环境保护和资源节约，实现国有资产持续增值，注重企业可持续高质量发展。 </w:t>
      </w:r>
    </w:p>
    <w:p>
      <w:pPr>
        <w:ind w:left="279" w:leftChars="133" w:firstLine="480" w:firstLineChars="15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2.对供应商和采购商诚实守信，公平交易，维护客户权益，保证投资股东利益。 </w:t>
      </w:r>
    </w:p>
    <w:p>
      <w:pPr>
        <w:ind w:left="279" w:leftChars="133" w:firstLine="480" w:firstLineChars="15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维护员工权益，提供安全健康的工作环境，加强劳动保护，实现安全生产，积极预防职业病。按时足额发放劳动报酬，并根据企业发展和企业政策，逐步提高员工收入、福利待遇。加强员工培训，注重企业文化建设。 </w:t>
      </w:r>
    </w:p>
    <w:p>
      <w:pPr>
        <w:pStyle w:val="7"/>
        <w:numPr>
          <w:ilvl w:val="0"/>
          <w:numId w:val="0"/>
        </w:numPr>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五、其他依照法律法规应当主动公开的信息</w:t>
      </w:r>
    </w:p>
    <w:p>
      <w:pPr>
        <w:ind w:left="279" w:leftChars="133" w:firstLine="480" w:firstLineChars="15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安徽江南钢铁材料质量监督检验有限公司是安徽省市场监督管理局授权检验检测机构，资质认定证书编号：161216300503；发证日期2016 年 9 月 7 日，有效期至 2022 年 9 月 6 日。截止 2021 年 12 月 31 日安徽江南钢铁材料质量监督检验有限公司从业人数 44 人，资产总额 556.63 万元，负债总额 133.59 万元，所有者权益合计 423.04 万元；未对外提供任何担保、保证。全年累计营业收入 239.07 万元，全年实现利润总额 110.78 万元，累计实现净利润 104.13 万元，全年累计上缴税收 13.33 万元。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kZDMxNzlmMDM5ZjI0OTkyMTNiYjAwYmNkN2UwZTkifQ=="/>
  </w:docVars>
  <w:rsids>
    <w:rsidRoot w:val="07233008"/>
    <w:rsid w:val="07233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2"/>
    <w:basedOn w:val="1"/>
    <w:unhideWhenUsed/>
    <w:qFormat/>
    <w:uiPriority w:val="99"/>
    <w:pPr>
      <w:spacing w:after="120" w:afterLines="0" w:afterAutospacing="0" w:line="480" w:lineRule="auto"/>
      <w:ind w:left="420" w:leftChars="200"/>
    </w:pPr>
  </w:style>
  <w:style w:type="paragraph" w:styleId="3">
    <w:name w:val="footer"/>
    <w:basedOn w:val="1"/>
    <w:uiPriority w:val="0"/>
    <w:pPr>
      <w:tabs>
        <w:tab w:val="center" w:pos="4153"/>
        <w:tab w:val="right" w:pos="8306"/>
      </w:tabs>
      <w:snapToGrid w:val="0"/>
      <w:jc w:val="left"/>
    </w:pPr>
    <w:rPr>
      <w:sz w:val="18"/>
    </w:rPr>
  </w:style>
  <w:style w:type="character" w:styleId="6">
    <w:name w:val="page number"/>
    <w:basedOn w:val="5"/>
    <w:uiPriority w:val="0"/>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948</Words>
  <Characters>1105</Characters>
  <Lines>0</Lines>
  <Paragraphs>0</Paragraphs>
  <TotalTime>1</TotalTime>
  <ScaleCrop>false</ScaleCrop>
  <LinksUpToDate>false</LinksUpToDate>
  <CharactersWithSpaces>1187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2022-05-30T06:16:00Z</dcterms:created>
  <dc:creator>草莓夹心糖</dc:creator>
  <cp:lastModifiedBy>草莓夹心糖</cp:lastModifiedBy>
  <dcterms:modified xsi:type="dcterms:W3CDTF">2022-05-30T06:19:46Z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D99CDF9E92144246A55E877A5A67D3DC</vt:lpwstr>
  </property>
</Properties>
</file>